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97803" w14:textId="77777777" w:rsidR="00167915" w:rsidRPr="00202509" w:rsidRDefault="00684681" w:rsidP="00791574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232DC23D" w14:textId="77777777" w:rsidR="00167915" w:rsidRPr="00202509" w:rsidRDefault="00684681" w:rsidP="00791574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2D816C04" w14:textId="77777777" w:rsidR="00167915" w:rsidRPr="00202509" w:rsidRDefault="00684681" w:rsidP="00791574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5919955E" w14:textId="77777777" w:rsidR="00167915" w:rsidRPr="00202509" w:rsidRDefault="00684681" w:rsidP="00791574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45840EAA" w14:textId="77777777" w:rsidR="00167915" w:rsidRPr="00791574" w:rsidRDefault="00684681" w:rsidP="00791574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76336F97" w14:textId="77777777" w:rsidR="00167915" w:rsidRPr="00180F7B" w:rsidRDefault="00684681" w:rsidP="00684681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2E4CD9E9" w14:textId="77777777" w:rsidR="00167915" w:rsidRPr="00684681" w:rsidRDefault="00684681" w:rsidP="00684681">
      <w:pPr>
        <w:jc w:val="center"/>
        <w:rPr>
          <w:rFonts w:ascii="Arial" w:hAnsi="Arial" w:cs="Arial"/>
          <w:b/>
          <w:sz w:val="24"/>
          <w:szCs w:val="24"/>
        </w:rPr>
      </w:pPr>
      <w:r w:rsidRPr="00684681">
        <w:rPr>
          <w:rFonts w:ascii="Arial" w:hAnsi="Arial" w:cs="Arial"/>
          <w:b/>
          <w:sz w:val="24"/>
          <w:szCs w:val="24"/>
        </w:rPr>
        <w:t>OBECNÁ ČÁST</w:t>
      </w:r>
    </w:p>
    <w:p w14:paraId="55508268" w14:textId="77777777" w:rsidR="00167915" w:rsidRPr="00577AE6" w:rsidRDefault="00684681" w:rsidP="00577AE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0CA7A38E" w14:textId="77777777" w:rsidR="00167915" w:rsidRPr="00937E8C" w:rsidRDefault="00684681" w:rsidP="00577AE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577AE6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577AE6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577AE6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</w:t>
      </w:r>
      <w:r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ích provozovatelů, adresa sídla</w:t>
      </w:r>
    </w:p>
    <w:p w14:paraId="163A34E9" w14:textId="77777777" w:rsidR="00167915" w:rsidRPr="00577AE6" w:rsidRDefault="00684681" w:rsidP="00577AE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</w:t>
      </w: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ruh hazardní hry</w:t>
      </w:r>
    </w:p>
    <w:p w14:paraId="520C9C92" w14:textId="77777777" w:rsidR="00167915" w:rsidRPr="00937E8C" w:rsidRDefault="00684681" w:rsidP="00577AE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Technická hra</w:t>
      </w:r>
    </w:p>
    <w:p w14:paraId="48DF6348" w14:textId="77777777" w:rsidR="00167915" w:rsidRPr="00577AE6" w:rsidRDefault="00684681" w:rsidP="00577AE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3CF09D9E" w14:textId="77777777" w:rsidR="00167915" w:rsidRDefault="00684681" w:rsidP="00791574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Internet </w:t>
      </w:r>
      <w:r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prostřednictvím aplikace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 internetových stránek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543CE3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abc.cz</w:t>
      </w:r>
    </w:p>
    <w:p w14:paraId="75DB95C7" w14:textId="77777777" w:rsidR="00167915" w:rsidRPr="00577AE6" w:rsidRDefault="00684681" w:rsidP="00791574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040DFC44" w14:textId="77777777" w:rsidR="00167915" w:rsidRPr="004E0F5A" w:rsidRDefault="00684681" w:rsidP="00791574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279371AE" w14:textId="77777777" w:rsidR="00167915" w:rsidRPr="004E0F5A" w:rsidRDefault="00684681" w:rsidP="00791574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5E7CE3CB" w14:textId="77777777" w:rsidR="00167915" w:rsidRPr="004E0F5A" w:rsidRDefault="00684681" w:rsidP="00791574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783BDCCD" w14:textId="77777777" w:rsidR="00167915" w:rsidRPr="004E0F5A" w:rsidRDefault="00684681" w:rsidP="00791574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2B92A08E" w14:textId="77777777" w:rsidR="00167915" w:rsidRPr="004E0F5A" w:rsidRDefault="00684681" w:rsidP="00791574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332639A2" w14:textId="77777777" w:rsidR="00167915" w:rsidRPr="00577AE6" w:rsidRDefault="00684681" w:rsidP="00577AE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5C7DD1B8" w14:textId="77777777" w:rsidR="00167915" w:rsidRPr="00937E8C" w:rsidRDefault="00684681" w:rsidP="00577AE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61E35FD3" w14:textId="77777777" w:rsidR="00167915" w:rsidRPr="00AE7DF8" w:rsidRDefault="00684681" w:rsidP="00577AE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právních předpisů mají přednost před ustanovením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6AE015A4" w14:textId="77777777" w:rsidR="00167915" w:rsidRPr="000F5BF0" w:rsidRDefault="00684681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31AB1550" w14:textId="77777777" w:rsidR="00167915" w:rsidRDefault="00684681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0B5D64B9" w14:textId="77777777" w:rsidR="00167915" w:rsidRDefault="00684681" w:rsidP="00572DF2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 xml:space="preserve">možnost </w:t>
      </w:r>
      <w:r>
        <w:rPr>
          <w:rFonts w:ascii="Arial" w:hAnsi="Arial" w:cs="Arial"/>
          <w:sz w:val="24"/>
          <w:szCs w:val="24"/>
        </w:rPr>
        <w:lastRenderedPageBreak/>
        <w:t>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18EDCBB3" w14:textId="77777777" w:rsidR="00167915" w:rsidRDefault="00684681" w:rsidP="002D3C87">
      <w:pPr>
        <w:jc w:val="both"/>
        <w:rPr>
          <w:rFonts w:ascii="Arial" w:hAnsi="Arial" w:cs="Arial"/>
          <w:sz w:val="24"/>
          <w:szCs w:val="24"/>
        </w:rPr>
      </w:pPr>
      <w:r w:rsidRPr="00791574">
        <w:rPr>
          <w:rFonts w:ascii="Arial" w:hAnsi="Arial" w:cs="Arial"/>
          <w:sz w:val="24"/>
          <w:szCs w:val="24"/>
          <w:highlight w:val="cyan"/>
        </w:rPr>
        <w:t xml:space="preserve">Pokud provozovatel umožňuje nastavení hodnot sebeomezujících opatření společně pro více druhů, uvede následující formulaci a vyplní druhy hazardních her. Pokud nastavuje hodnoty opatření pouze pro internetovou technickou hru, formulaci neuvádí. </w:t>
      </w:r>
      <w:r w:rsidRPr="00577AE6">
        <w:rPr>
          <w:rFonts w:ascii="Arial" w:hAnsi="Arial" w:cs="Arial"/>
          <w:sz w:val="24"/>
          <w:szCs w:val="24"/>
          <w:highlight w:val="yellow"/>
        </w:rPr>
        <w:t>Provozovatel umožňuje nastavení hodnot sebeomezujících opatření společně pro následující druhy hazardních her: XXXX.</w:t>
      </w:r>
    </w:p>
    <w:p w14:paraId="6FC1D733" w14:textId="77777777" w:rsidR="00167915" w:rsidRDefault="00684681" w:rsidP="00572DF2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>Registrace je dle ZHH podmínkou účasti na technické hře provozované prostřednictvím internetu. Registrace je dokončena okamžikem zřízení uživatelského konta a přidělením přístupových údajů nebo jiného přístupového prostředku k němu.</w:t>
      </w:r>
    </w:p>
    <w:p w14:paraId="7A69C4D2" w14:textId="6CAA3E9C" w:rsidR="00167915" w:rsidRPr="00D316E0" w:rsidRDefault="00684681" w:rsidP="00572DF2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</w:t>
      </w:r>
      <w:r w:rsidR="004B6F9B" w:rsidRPr="00580EEC">
        <w:rPr>
          <w:rFonts w:ascii="Arial" w:hAnsi="Arial" w:cs="Arial"/>
          <w:sz w:val="24"/>
          <w:szCs w:val="24"/>
          <w:highlight w:val="green"/>
        </w:rPr>
        <w:t>kont</w:t>
      </w:r>
      <w:r w:rsidR="004B6F9B">
        <w:rPr>
          <w:rFonts w:ascii="Arial" w:hAnsi="Arial" w:cs="Arial"/>
          <w:sz w:val="24"/>
          <w:szCs w:val="24"/>
          <w:highlight w:val="green"/>
        </w:rPr>
        <w:t>o</w:t>
      </w:r>
      <w:r w:rsidR="004B6F9B" w:rsidRPr="00580EEC">
        <w:rPr>
          <w:rFonts w:ascii="Arial" w:hAnsi="Arial" w:cs="Arial"/>
          <w:sz w:val="24"/>
          <w:szCs w:val="24"/>
          <w:highlight w:val="green"/>
        </w:rPr>
        <w:t xml:space="preserve">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k účasti i na dalších druzích provozovatelem </w:t>
      </w:r>
      <w:r>
        <w:rPr>
          <w:rFonts w:ascii="Arial" w:hAnsi="Arial" w:cs="Arial"/>
          <w:sz w:val="24"/>
          <w:szCs w:val="24"/>
          <w:highlight w:val="green"/>
        </w:rPr>
        <w:t xml:space="preserve">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580EEC">
        <w:rPr>
          <w:rFonts w:ascii="Arial" w:hAnsi="Arial" w:cs="Arial"/>
          <w:sz w:val="24"/>
          <w:szCs w:val="24"/>
          <w:highlight w:val="green"/>
        </w:rPr>
        <w:t>Uživatelské konto je zřízeno pouze k účasti na internetové technické hře. Pro účast na jiných druzích hazardních her je nezbytné projít procesem registrace ke konkrétnímu druhu hazardní hry.</w:t>
      </w:r>
    </w:p>
    <w:p w14:paraId="46B0B1E3" w14:textId="77777777" w:rsidR="00167915" w:rsidRDefault="00684681" w:rsidP="00572DF2">
      <w:pPr>
        <w:jc w:val="both"/>
        <w:rPr>
          <w:rFonts w:ascii="Arial" w:hAnsi="Arial" w:cs="Arial"/>
          <w:sz w:val="24"/>
          <w:szCs w:val="24"/>
        </w:rPr>
      </w:pPr>
      <w:r w:rsidRPr="00D316E0">
        <w:rPr>
          <w:rFonts w:ascii="Arial" w:hAnsi="Arial" w:cs="Arial"/>
          <w:sz w:val="24"/>
          <w:szCs w:val="24"/>
        </w:rPr>
        <w:t xml:space="preserve">Účastník hazardní hry </w:t>
      </w:r>
      <w:r w:rsidRPr="00580EEC">
        <w:rPr>
          <w:rFonts w:ascii="Arial" w:hAnsi="Arial" w:cs="Arial"/>
          <w:sz w:val="24"/>
          <w:szCs w:val="24"/>
          <w:highlight w:val="green"/>
        </w:rPr>
        <w:t>může/nemůže</w:t>
      </w:r>
      <w:r w:rsidRPr="00D316E0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 konty pro provozování jiných hazardních her provozovatelem.</w:t>
      </w:r>
    </w:p>
    <w:p w14:paraId="03A52636" w14:textId="77777777" w:rsidR="00167915" w:rsidRDefault="00684681" w:rsidP="00572DF2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společný účet pro peněžní a hrací prostředky sázejícího určené k účasti na internetové technické hře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oddělené podúčty pro internetovou technickou hru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7CF0945F" w14:textId="1F5152EC" w:rsidR="00BB0132" w:rsidRPr="00D316E0" w:rsidRDefault="00BB0132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71B7A9CD" w14:textId="77777777" w:rsidR="00167915" w:rsidRPr="000F5BF0" w:rsidRDefault="00684681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provedení slosování/zjištění okolnosti, jež určuje výhru</w:t>
      </w:r>
    </w:p>
    <w:p w14:paraId="2DFA028D" w14:textId="77777777" w:rsidR="00167915" w:rsidRDefault="00684681" w:rsidP="00435CB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Způsob zjištění okolnosti, jež určuje výhru, je upraven ve zvláštní části herního plánu ve vztahu ke každé jednotlivé technické hře. Hra je provozována pomocí technického zařízení přímo obsluhovaného sázejícím.</w:t>
      </w:r>
    </w:p>
    <w:p w14:paraId="6B40B668" w14:textId="77777777" w:rsidR="00167915" w:rsidRPr="000F5BF0" w:rsidRDefault="00684681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Výše výhry nebo způsob jejího určení</w:t>
      </w:r>
    </w:p>
    <w:p w14:paraId="2CA2B628" w14:textId="77777777" w:rsidR="00167915" w:rsidRPr="00F60D55" w:rsidRDefault="00684681" w:rsidP="0035014F">
      <w:pPr>
        <w:jc w:val="both"/>
        <w:rPr>
          <w:rStyle w:val="Odkazintenzivn"/>
        </w:rPr>
      </w:pPr>
      <w:r>
        <w:rPr>
          <w:rFonts w:ascii="Arial" w:hAnsi="Arial" w:cs="Arial"/>
          <w:sz w:val="24"/>
          <w:szCs w:val="24"/>
        </w:rPr>
        <w:t xml:space="preserve">Výše výhry je upravena </w:t>
      </w:r>
      <w:r w:rsidRPr="009B3D55">
        <w:rPr>
          <w:rFonts w:ascii="Arial" w:hAnsi="Arial" w:cs="Arial"/>
          <w:sz w:val="24"/>
          <w:szCs w:val="24"/>
        </w:rPr>
        <w:t xml:space="preserve">ve zvláštní části herního plánu ve vztahu ke každé jednotlivé </w:t>
      </w:r>
      <w:r>
        <w:rPr>
          <w:rFonts w:ascii="Arial" w:hAnsi="Arial" w:cs="Arial"/>
          <w:sz w:val="24"/>
          <w:szCs w:val="24"/>
        </w:rPr>
        <w:t>technické hře</w:t>
      </w:r>
      <w:r w:rsidRPr="009B3D55">
        <w:rPr>
          <w:rFonts w:ascii="Arial" w:hAnsi="Arial" w:cs="Arial"/>
          <w:sz w:val="24"/>
          <w:szCs w:val="24"/>
        </w:rPr>
        <w:t>.</w:t>
      </w:r>
    </w:p>
    <w:p w14:paraId="7932F877" w14:textId="77777777" w:rsidR="00167915" w:rsidRPr="007B23B1" w:rsidRDefault="00684681" w:rsidP="007B23B1">
      <w:pPr>
        <w:pStyle w:val="Odstavecseseznamem"/>
        <w:keepNext/>
        <w:numPr>
          <w:ilvl w:val="0"/>
          <w:numId w:val="1"/>
        </w:numPr>
        <w:ind w:left="357" w:hanging="35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lastRenderedPageBreak/>
        <w:t>Způsob a lhůty pro výplatu výhry</w:t>
      </w:r>
    </w:p>
    <w:p w14:paraId="3372E890" w14:textId="77777777" w:rsidR="00167915" w:rsidRPr="000F5BF0" w:rsidRDefault="00684681" w:rsidP="004803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Provozovatel vyplatí výhru bez zbytečného odkladu, nejpozději do 30 dnů ode dne jejího vyhodnocení.</w:t>
      </w:r>
      <w:r w:rsidRPr="000F5BF0">
        <w:rPr>
          <w:rFonts w:ascii="Arial" w:hAnsi="Arial" w:cs="Arial"/>
          <w:sz w:val="24"/>
          <w:szCs w:val="24"/>
        </w:rPr>
        <w:t xml:space="preserve">  </w:t>
      </w:r>
    </w:p>
    <w:p w14:paraId="5A50B58D" w14:textId="77777777" w:rsidR="00167915" w:rsidRDefault="00684681" w:rsidP="007B23B1">
      <w:pPr>
        <w:jc w:val="both"/>
        <w:rPr>
          <w:rFonts w:ascii="Arial" w:hAnsi="Arial" w:cs="Arial"/>
          <w:sz w:val="24"/>
          <w:szCs w:val="24"/>
        </w:rPr>
      </w:pPr>
      <w:r w:rsidRPr="00A5481E">
        <w:rPr>
          <w:rFonts w:ascii="Arial" w:hAnsi="Arial" w:cs="Arial"/>
          <w:sz w:val="24"/>
          <w:szCs w:val="24"/>
        </w:rPr>
        <w:t xml:space="preserve">Výplata peněžních prostředků z uživatelského konta bude provedena bezúplatně na základě žádosti účastníka hazardní hry, a to na všech místech, kde jsou přijímány vklady peněžních </w:t>
      </w:r>
      <w:r>
        <w:rPr>
          <w:rFonts w:ascii="Arial" w:hAnsi="Arial" w:cs="Arial"/>
          <w:sz w:val="24"/>
          <w:szCs w:val="24"/>
        </w:rPr>
        <w:t xml:space="preserve">prostředků na uživatelské konto. </w:t>
      </w:r>
      <w:r w:rsidRPr="00A5481E">
        <w:rPr>
          <w:rFonts w:ascii="Arial" w:hAnsi="Arial" w:cs="Arial"/>
          <w:sz w:val="24"/>
          <w:szCs w:val="24"/>
        </w:rPr>
        <w:t>Výplata bude provedena bezodkladně, z omluvitelného důvodu nejpozději do 60 dnů ode dne, kdy žádost provozovatel obdržel.</w:t>
      </w:r>
    </w:p>
    <w:p w14:paraId="6551C8DF" w14:textId="77777777" w:rsidR="00167915" w:rsidRPr="0094230E" w:rsidRDefault="00684681" w:rsidP="002059A1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94230E">
        <w:rPr>
          <w:rFonts w:ascii="Arial" w:hAnsi="Arial" w:cs="Arial"/>
          <w:b/>
          <w:sz w:val="24"/>
          <w:szCs w:val="24"/>
        </w:rPr>
        <w:t>Další informace</w:t>
      </w:r>
    </w:p>
    <w:p w14:paraId="089C8B93" w14:textId="4E8664FD" w:rsidR="00684681" w:rsidRPr="00684681" w:rsidRDefault="00684681" w:rsidP="00684681">
      <w:pPr>
        <w:jc w:val="both"/>
        <w:rPr>
          <w:rFonts w:ascii="Arial" w:hAnsi="Arial" w:cs="Arial"/>
          <w:sz w:val="24"/>
          <w:szCs w:val="24"/>
        </w:rPr>
      </w:pPr>
      <w:r w:rsidRPr="00684681">
        <w:rPr>
          <w:rFonts w:ascii="Arial" w:hAnsi="Arial" w:cs="Arial"/>
          <w:sz w:val="24"/>
          <w:szCs w:val="24"/>
        </w:rPr>
        <w:t xml:space="preserve">Herní měnou je </w:t>
      </w:r>
      <w:r w:rsidRPr="00684681">
        <w:rPr>
          <w:rFonts w:ascii="Arial" w:hAnsi="Arial" w:cs="Arial"/>
          <w:sz w:val="24"/>
          <w:szCs w:val="24"/>
          <w:highlight w:val="cyan"/>
        </w:rPr>
        <w:t xml:space="preserve">provozovatel uvede veškeré herní měny, ve kterých bude provozovat </w:t>
      </w:r>
      <w:r w:rsidR="00BD7AC3">
        <w:rPr>
          <w:rFonts w:ascii="Arial" w:hAnsi="Arial" w:cs="Arial"/>
          <w:sz w:val="24"/>
          <w:szCs w:val="24"/>
          <w:highlight w:val="cyan"/>
        </w:rPr>
        <w:t>internetovou technick</w:t>
      </w:r>
      <w:r w:rsidRPr="00684681">
        <w:rPr>
          <w:rFonts w:ascii="Arial" w:hAnsi="Arial" w:cs="Arial"/>
          <w:sz w:val="24"/>
          <w:szCs w:val="24"/>
          <w:highlight w:val="cyan"/>
        </w:rPr>
        <w:t>ou hru.</w:t>
      </w:r>
    </w:p>
    <w:p w14:paraId="1D236192" w14:textId="38E01BF0" w:rsidR="00167915" w:rsidRPr="00684681" w:rsidRDefault="00684681" w:rsidP="00684681">
      <w:pPr>
        <w:jc w:val="both"/>
        <w:rPr>
          <w:rFonts w:ascii="Arial" w:hAnsi="Arial" w:cs="Arial"/>
          <w:sz w:val="24"/>
          <w:szCs w:val="24"/>
          <w:highlight w:val="cyan"/>
        </w:rPr>
      </w:pPr>
      <w:r w:rsidRPr="00130E5B">
        <w:rPr>
          <w:rFonts w:ascii="Arial" w:hAnsi="Arial" w:cs="Arial"/>
          <w:sz w:val="24"/>
          <w:szCs w:val="24"/>
          <w:highlight w:val="cyan"/>
        </w:rPr>
        <w:t>V této části může žadatel uvést další obecné informace, které se dotýkají daného druhu hazardní hry a jejího provozování, a které je nutné uvádět v herním plánu. Neuvádí se informace či pravidla, která vyplývají přímo ze zákona.</w:t>
      </w:r>
      <w:r w:rsidRPr="00684681">
        <w:rPr>
          <w:rFonts w:ascii="Arial" w:hAnsi="Arial" w:cs="Arial"/>
          <w:sz w:val="24"/>
          <w:szCs w:val="24"/>
          <w:highlight w:val="yellow"/>
        </w:rPr>
        <w:t xml:space="preserve"> </w:t>
      </w:r>
    </w:p>
    <w:sectPr w:rsidR="00167915" w:rsidRPr="00684681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DC971" w14:textId="77777777" w:rsidR="00D376B1" w:rsidRDefault="00D376B1">
      <w:pPr>
        <w:spacing w:after="0" w:line="240" w:lineRule="auto"/>
      </w:pPr>
      <w:r>
        <w:separator/>
      </w:r>
    </w:p>
  </w:endnote>
  <w:endnote w:type="continuationSeparator" w:id="0">
    <w:p w14:paraId="6781556D" w14:textId="77777777" w:rsidR="00D376B1" w:rsidRDefault="00D3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37AA" w14:textId="77777777" w:rsidR="00167915" w:rsidRDefault="00167915">
    <w:pPr>
      <w:pStyle w:val="Zpat"/>
      <w:jc w:val="center"/>
    </w:pPr>
  </w:p>
  <w:p w14:paraId="327A6C92" w14:textId="77777777" w:rsidR="00167915" w:rsidRDefault="001679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AE737" w14:textId="77777777" w:rsidR="00D376B1" w:rsidRDefault="00D376B1">
      <w:pPr>
        <w:spacing w:after="0" w:line="240" w:lineRule="auto"/>
      </w:pPr>
      <w:r>
        <w:separator/>
      </w:r>
    </w:p>
  </w:footnote>
  <w:footnote w:type="continuationSeparator" w:id="0">
    <w:p w14:paraId="565DE2BD" w14:textId="77777777" w:rsidR="00D376B1" w:rsidRDefault="00D37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0B"/>
    <w:multiLevelType w:val="multilevel"/>
    <w:tmpl w:val="73924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105A7F"/>
    <w:multiLevelType w:val="hybridMultilevel"/>
    <w:tmpl w:val="0FBE2C52"/>
    <w:lvl w:ilvl="0" w:tplc="245416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AE07FF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A4A6D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E346FA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D90AD6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268B87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6C86A9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D3EF02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C214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114E3C"/>
    <w:multiLevelType w:val="hybridMultilevel"/>
    <w:tmpl w:val="25940D34"/>
    <w:lvl w:ilvl="0" w:tplc="0FB847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636201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460FFA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A8A11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6004E9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F849F3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606EBE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89CDE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D868BE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60EA9"/>
    <w:multiLevelType w:val="hybridMultilevel"/>
    <w:tmpl w:val="09D212B8"/>
    <w:lvl w:ilvl="0" w:tplc="FC863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83200B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0453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A2DC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CCDE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7C8C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5AE2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04FA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A866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4213"/>
    <w:multiLevelType w:val="hybridMultilevel"/>
    <w:tmpl w:val="E0247FB2"/>
    <w:lvl w:ilvl="0" w:tplc="C3D69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BF8B252" w:tentative="1">
      <w:start w:val="1"/>
      <w:numFmt w:val="lowerLetter"/>
      <w:lvlText w:val="%2."/>
      <w:lvlJc w:val="left"/>
      <w:pPr>
        <w:ind w:left="1080" w:hanging="360"/>
      </w:pPr>
    </w:lvl>
    <w:lvl w:ilvl="2" w:tplc="662045C0" w:tentative="1">
      <w:start w:val="1"/>
      <w:numFmt w:val="lowerRoman"/>
      <w:lvlText w:val="%3."/>
      <w:lvlJc w:val="right"/>
      <w:pPr>
        <w:ind w:left="1800" w:hanging="180"/>
      </w:pPr>
    </w:lvl>
    <w:lvl w:ilvl="3" w:tplc="578AE2F6" w:tentative="1">
      <w:start w:val="1"/>
      <w:numFmt w:val="decimal"/>
      <w:lvlText w:val="%4."/>
      <w:lvlJc w:val="left"/>
      <w:pPr>
        <w:ind w:left="2520" w:hanging="360"/>
      </w:pPr>
    </w:lvl>
    <w:lvl w:ilvl="4" w:tplc="A888E3B8" w:tentative="1">
      <w:start w:val="1"/>
      <w:numFmt w:val="lowerLetter"/>
      <w:lvlText w:val="%5."/>
      <w:lvlJc w:val="left"/>
      <w:pPr>
        <w:ind w:left="3240" w:hanging="360"/>
      </w:pPr>
    </w:lvl>
    <w:lvl w:ilvl="5" w:tplc="C264FA28" w:tentative="1">
      <w:start w:val="1"/>
      <w:numFmt w:val="lowerRoman"/>
      <w:lvlText w:val="%6."/>
      <w:lvlJc w:val="right"/>
      <w:pPr>
        <w:ind w:left="3960" w:hanging="180"/>
      </w:pPr>
    </w:lvl>
    <w:lvl w:ilvl="6" w:tplc="7D3E114E" w:tentative="1">
      <w:start w:val="1"/>
      <w:numFmt w:val="decimal"/>
      <w:lvlText w:val="%7."/>
      <w:lvlJc w:val="left"/>
      <w:pPr>
        <w:ind w:left="4680" w:hanging="360"/>
      </w:pPr>
    </w:lvl>
    <w:lvl w:ilvl="7" w:tplc="4FA6109C" w:tentative="1">
      <w:start w:val="1"/>
      <w:numFmt w:val="lowerLetter"/>
      <w:lvlText w:val="%8."/>
      <w:lvlJc w:val="left"/>
      <w:pPr>
        <w:ind w:left="5400" w:hanging="360"/>
      </w:pPr>
    </w:lvl>
    <w:lvl w:ilvl="8" w:tplc="84B46D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386E88"/>
    <w:multiLevelType w:val="hybridMultilevel"/>
    <w:tmpl w:val="3648F6FA"/>
    <w:lvl w:ilvl="0" w:tplc="23CA4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B424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8C26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B4C6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CF9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124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361E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A860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C428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30D71"/>
    <w:multiLevelType w:val="hybridMultilevel"/>
    <w:tmpl w:val="B93EFEF8"/>
    <w:lvl w:ilvl="0" w:tplc="D5B4F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E81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F2B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240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20F0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92D2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D81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305E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63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694827"/>
    <w:multiLevelType w:val="hybridMultilevel"/>
    <w:tmpl w:val="D826CAFA"/>
    <w:lvl w:ilvl="0" w:tplc="497C7FC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A5308F96" w:tentative="1">
      <w:start w:val="1"/>
      <w:numFmt w:val="lowerLetter"/>
      <w:lvlText w:val="%2."/>
      <w:lvlJc w:val="left"/>
      <w:pPr>
        <w:ind w:left="1440" w:hanging="360"/>
      </w:pPr>
    </w:lvl>
    <w:lvl w:ilvl="2" w:tplc="EE0AAE28" w:tentative="1">
      <w:start w:val="1"/>
      <w:numFmt w:val="lowerRoman"/>
      <w:lvlText w:val="%3."/>
      <w:lvlJc w:val="right"/>
      <w:pPr>
        <w:ind w:left="2160" w:hanging="180"/>
      </w:pPr>
    </w:lvl>
    <w:lvl w:ilvl="3" w:tplc="B12C722C" w:tentative="1">
      <w:start w:val="1"/>
      <w:numFmt w:val="decimal"/>
      <w:lvlText w:val="%4."/>
      <w:lvlJc w:val="left"/>
      <w:pPr>
        <w:ind w:left="2880" w:hanging="360"/>
      </w:pPr>
    </w:lvl>
    <w:lvl w:ilvl="4" w:tplc="6958AE5A" w:tentative="1">
      <w:start w:val="1"/>
      <w:numFmt w:val="lowerLetter"/>
      <w:lvlText w:val="%5."/>
      <w:lvlJc w:val="left"/>
      <w:pPr>
        <w:ind w:left="3600" w:hanging="360"/>
      </w:pPr>
    </w:lvl>
    <w:lvl w:ilvl="5" w:tplc="4274AF18" w:tentative="1">
      <w:start w:val="1"/>
      <w:numFmt w:val="lowerRoman"/>
      <w:lvlText w:val="%6."/>
      <w:lvlJc w:val="right"/>
      <w:pPr>
        <w:ind w:left="4320" w:hanging="180"/>
      </w:pPr>
    </w:lvl>
    <w:lvl w:ilvl="6" w:tplc="AA0C1220" w:tentative="1">
      <w:start w:val="1"/>
      <w:numFmt w:val="decimal"/>
      <w:lvlText w:val="%7."/>
      <w:lvlJc w:val="left"/>
      <w:pPr>
        <w:ind w:left="5040" w:hanging="360"/>
      </w:pPr>
    </w:lvl>
    <w:lvl w:ilvl="7" w:tplc="A1E66D5E" w:tentative="1">
      <w:start w:val="1"/>
      <w:numFmt w:val="lowerLetter"/>
      <w:lvlText w:val="%8."/>
      <w:lvlJc w:val="left"/>
      <w:pPr>
        <w:ind w:left="5760" w:hanging="360"/>
      </w:pPr>
    </w:lvl>
    <w:lvl w:ilvl="8" w:tplc="1DD26C6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684500">
    <w:abstractNumId w:val="4"/>
  </w:num>
  <w:num w:numId="2" w16cid:durableId="130245043">
    <w:abstractNumId w:val="0"/>
  </w:num>
  <w:num w:numId="3" w16cid:durableId="1034113615">
    <w:abstractNumId w:val="6"/>
  </w:num>
  <w:num w:numId="4" w16cid:durableId="161437751">
    <w:abstractNumId w:val="3"/>
  </w:num>
  <w:num w:numId="5" w16cid:durableId="1506823196">
    <w:abstractNumId w:val="7"/>
  </w:num>
  <w:num w:numId="6" w16cid:durableId="1768888844">
    <w:abstractNumId w:val="5"/>
  </w:num>
  <w:num w:numId="7" w16cid:durableId="898201808">
    <w:abstractNumId w:val="1"/>
  </w:num>
  <w:num w:numId="8" w16cid:durableId="10361968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921"/>
    <w:rsid w:val="00167915"/>
    <w:rsid w:val="002E35D6"/>
    <w:rsid w:val="004B6F9B"/>
    <w:rsid w:val="00684681"/>
    <w:rsid w:val="00815AD4"/>
    <w:rsid w:val="0094230E"/>
    <w:rsid w:val="00985921"/>
    <w:rsid w:val="00B3189D"/>
    <w:rsid w:val="00BB0132"/>
    <w:rsid w:val="00BD7AC3"/>
    <w:rsid w:val="00C85C97"/>
    <w:rsid w:val="00CB6C84"/>
    <w:rsid w:val="00D376B1"/>
    <w:rsid w:val="00EF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DC68"/>
  <w15:docId w15:val="{D223635E-E3DB-40A2-822C-5C58E012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7E8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237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37E8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E24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E24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E24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E24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E24D5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06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intenzivn">
    <w:name w:val="Intense Reference"/>
    <w:basedOn w:val="Standardnpsmoodstavce"/>
    <w:uiPriority w:val="32"/>
    <w:qFormat/>
    <w:rsid w:val="00F60D55"/>
    <w:rPr>
      <w:b/>
      <w:bCs/>
      <w:smallCaps/>
      <w:color w:val="5B9BD5" w:themeColor="accent1"/>
      <w:spacing w:val="5"/>
    </w:rPr>
  </w:style>
  <w:style w:type="paragraph" w:styleId="Zhlav">
    <w:name w:val="header"/>
    <w:basedOn w:val="Normln"/>
    <w:link w:val="ZhlavChar"/>
    <w:uiPriority w:val="99"/>
    <w:unhideWhenUsed/>
    <w:rsid w:val="0079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1574"/>
  </w:style>
  <w:style w:type="paragraph" w:styleId="Zpat">
    <w:name w:val="footer"/>
    <w:basedOn w:val="Normln"/>
    <w:link w:val="ZpatChar"/>
    <w:uiPriority w:val="99"/>
    <w:unhideWhenUsed/>
    <w:rsid w:val="0079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1574"/>
  </w:style>
  <w:style w:type="paragraph" w:styleId="Revize">
    <w:name w:val="Revision"/>
    <w:hidden/>
    <w:uiPriority w:val="99"/>
    <w:semiHidden/>
    <w:rsid w:val="00815A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054FF-9F2B-4A89-993A-CD6CC136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819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Mašková Barbora</dc:creator>
  <cp:lastModifiedBy>Mašková Barbora</cp:lastModifiedBy>
  <cp:revision>9</cp:revision>
  <dcterms:created xsi:type="dcterms:W3CDTF">2025-10-20T12:44:00Z</dcterms:created>
  <dcterms:modified xsi:type="dcterms:W3CDTF">2025-12-17T11:25:00Z</dcterms:modified>
</cp:coreProperties>
</file>